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BbgABG (Brandenburg) — Inkrafttreten</w:t>
      </w:r>
    </w:p>
    <w:p>
      <w:r>
        <w:rPr>
          <w:color w:val="555555"/>
          <w:sz w:val="18"/>
        </w:rPr>
        <w:t xml:space="preserve">Brandenburgisches Antisemitismusbeauftragtengesetz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Potsdam, den 23. November 2023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In Vertretung</w:t>
      </w:r>
    </w:p>
    <w:p>
      <w:r>
        <w:t xml:space="preserve">Barbara Richstein</w:t>
      </w:r>
    </w:p>
    <w:p>
      <w:r>
        <w:rPr>
          <w:color w:val="555555"/>
          <w:sz w:val="17"/>
        </w:rPr>
        <w:t xml:space="preserve">Zitiervorschlag: § 10 BbgABG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https://recht.nulegal.eu/gesetze/BbgABG/10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