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BbgÜTV (Brandenburg) — In-Kraft-Treten, Außer-Kraft-Treten</w:t>
      </w:r>
    </w:p>
    <w:p>
      <w:r>
        <w:rPr>
          <w:color w:val="555555"/>
          <w:sz w:val="18"/>
        </w:rPr>
        <w:t xml:space="preserve">Brandenburgische Bautätigkeitenüberwachungsverordnung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 Gleichzeitig tritt die Brandenburgische Verordnung über die Überwachung von Tätigkeiten mit Bauprodukten und bei Bauarten vom 18. November 1998 ( GVBl. II S. 624) außer Kraft.</w:t>
      </w:r>
    </w:p>
    <w:p>
      <w:r>
        <w:t xml:space="preserve">Potsdam, den 24. März 2005</w:t>
      </w:r>
    </w:p>
    <w:p>
      <w:r>
        <w:t xml:space="preserve">Der Minister für Infrastruktur und Raumordnung</w:t>
      </w:r>
    </w:p>
    <w:p>
      <w:r>
        <w:t xml:space="preserve">Frank Szymanski</w:t>
      </w:r>
    </w:p>
    <w:p>
      <w:r>
        <w:rPr>
          <w:color w:val="555555"/>
          <w:sz w:val="17"/>
        </w:rPr>
        <w:t xml:space="preserve">Zitiervorschlag: § 3 BbgÜTV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https://recht.nulegal.eu/gesetze/Bbg%C3%9CTV/3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