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BbgÖbVIG (Brandenburg) — Zulassung</w:t>
      </w:r>
    </w:p>
    <w:p>
      <w:r>
        <w:rPr>
          <w:color w:val="555555"/>
          <w:sz w:val="18"/>
        </w:rPr>
        <w:t xml:space="preserve">Brandenburgisches ÖbVI-Gesetz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Zulassung wird durch Aushändigung einer Zulassungsurkunde erteilt. Sie wird mit dem in der Urkunde angegebenen Datum der Aushändigung wirksam, wenn nicht in der Urkunde ein späteres Datum bestimmt ist.</w:t>
      </w:r>
    </w:p>
    <w:p>
      <w:r>
        <w:t xml:space="preserve">(2) Wer nach § 2 zugelassen werden soll, ist von der Aufsichtsbehörde auf die gewissenhafte und unparteiische Pflichterfüllung zu vereidigen. Die Vorschriften des Landesbeamtengesetzes über den Diensteid gelten entsprechend.</w:t>
      </w:r>
    </w:p>
    <w:p>
      <w:r>
        <w:rPr>
          <w:color w:val="555555"/>
          <w:sz w:val="17"/>
        </w:rPr>
        <w:t xml:space="preserve">Zitiervorschlag: § 4 BbgÖbVIG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https://recht.nulegal.eu/gesetze/Bbg%C3%96bVIG/4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BbgÖbVIG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