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BbgÖbVIG (Brandenburg) — Inkrafttreten, Außerkrafttreten</w:t>
      </w:r>
    </w:p>
    <w:p>
      <w:r>
        <w:rPr>
          <w:color w:val="555555"/>
          <w:sz w:val="18"/>
        </w:rPr>
        <w:t xml:space="preserve">Brandenburgisches ÖbVI-Gesetz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 nach der Verkündung in Kraft. Gleichzeitig treten außer Kraft:</w:t>
      </w:r>
    </w:p>
    <w:p>
      <w:r>
        <w:t xml:space="preserve">ÖbVI-Berufsordnung vom 18. Oktober 2000 (GVBl. I S. 142), die zuletzt durch Artikel 3 des Gesetzes vom 13. April 2010 (GVBl. I Nr. 17 S. 12) geändert worden ist,</w:t>
      </w:r>
    </w:p>
    <w:p>
      <w:r>
        <w:t xml:space="preserve">ÖbVI-Geschäftsabschlussverordnung vom 29. September 2001 (GVBl. II S. 622), die zuletzt durch Artikel 4 des Gesetzes vom 13. April 2010 (GVBl. I Nr. 17 S. 12) geändert worden ist,</w:t>
      </w:r>
    </w:p>
    <w:p>
      <w:r>
        <w:t xml:space="preserve">Zulassungsprüfungsverordnung vom 6. November 2000 (GVBl. II S. 414), die zuletzt durch Artikel 5 des Gesetzes vom 13. April 2010 (GVBl. I Nr. 17 S. 12) geändert worden ist.</w:t>
      </w:r>
    </w:p>
    <w:p>
      <w:r>
        <w:t xml:space="preserve">Potsdam, den 28. November 2016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rPr>
          <w:color w:val="555555"/>
          <w:sz w:val="17"/>
        </w:rPr>
        <w:t xml:space="preserve">Zitiervorschlag: § 23 BbgÖbVIG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https://recht.nulegal.eu/gesetze/Bbg%C3%96bVIG/23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