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BbgÖbVIG (Brandenburg) — Rechtsverordnungen</w:t>
      </w:r>
    </w:p>
    <w:p>
      <w:r>
        <w:rPr>
          <w:color w:val="555555"/>
          <w:sz w:val="18"/>
        </w:rPr>
        <w:t xml:space="preserve">Brandenburgisches ÖbVI-Gesetz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das Vermessungs- und Katasterwesen zuständige Mitglied der Landesregierung wird ermächtigt, durch Rechtsverordnungen zu regeln:</w:t>
      </w:r>
    </w:p>
    <w:p>
      <w:r>
        <w:t xml:space="preserve">Einzelheiten der Aufsicht, insbesondere bezüglich des Selbsteintrittsrechts (§ 10 Absatz 2), der Ahndung von Pflichtverletzungen (§ 11) und der Geschäftsabwicklung (§ 17),</w:t>
      </w:r>
    </w:p>
    <w:p>
      <w:r>
        <w:t xml:space="preserve">Einzelheiten der Berufsausübung, insbesondere bezüglich der Ausstattung der Geschäftsstelle (§ 5 Absatz 2), des Umfangs und der Höhe der Haftpflichtversicherung (§ 8 Absatz 3), des Umfangs und des Nachweises der Fortbildungspflicht (§ 8 Absatz 5) und der Mitwirkung von Fachkräften (§ 9 Absatz 4).</w:t>
      </w:r>
    </w:p>
    <w:p>
      <w:r>
        <w:rPr>
          <w:color w:val="555555"/>
          <w:sz w:val="17"/>
        </w:rPr>
        <w:t xml:space="preserve">Zitiervorschlag: § 21 BbgÖbVIG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https://recht.nulegal.eu/gesetze/Bbg%C3%96bVIG/21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