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BbgÖbVIG (Brandenburg) — Ordnungswidrigkeiten</w:t>
      </w:r>
    </w:p>
    <w:p>
      <w:r>
        <w:rPr>
          <w:color w:val="555555"/>
          <w:sz w:val="18"/>
        </w:rPr>
        <w:t xml:space="preserve">Brandenburgisches ÖbVI-Gesetz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</w:t>
      </w:r>
    </w:p>
    <w:p>
      <w:r>
        <w:t xml:space="preserve">die Berufsbezeichnung nach § 1 Absatz 1 führt, ohne die Zulassung zu besitzen oder obwohl die Zulassung erloschen ist und keine Berechtigung nach § 13 Absatz 2 besteht,</w:t>
      </w:r>
    </w:p>
    <w:p>
      <w:r>
        <w:t xml:space="preserve">die Ausführung von hoheitlichen Tätigkeiten nach § 1 Absatz 2 in eigenem Namen anbietet oder abrechnet, ohne hierzu berechtigt zu sein,</w:t>
      </w:r>
    </w:p>
    <w:p>
      <w:r>
        <w:t xml:space="preserve">die Öffentlich bestellte Vermessungsingenieurin oder den Öffentlich bestellten Vermessungsingenieur zu einer Unterschreitung der Gebühren auffordert.</w:t>
      </w:r>
    </w:p>
    <w:p>
      <w:r>
        <w:t xml:space="preserve">(2) Die Ordnungswidrigkeit kann mit einer Geldbuße bis zu fünfzigtausend Euro geahndet werden.</w:t>
      </w:r>
    </w:p>
    <w:p>
      <w:r>
        <w:t xml:space="preserve">(3) Verwaltungsbehörde gemäß § 36 Absatz 1 Nummer 1 des Gesetzes über Ordnungswidrigkeiten ist die Aufsichtsbehörde.</w:t>
      </w:r>
    </w:p>
    <w:p>
      <w:r>
        <w:t xml:space="preserve">(4) Ist zum Tatbestand einer Ordnungswidrigkeit auch ein strafrechtliches Verfahren eingeleitet worden, kann die Aufsichtsbehörde das Verfahren zurückstellen und über die Ordnungswidrigkeit unter Berücksichtigung des Ergebnisses des strafrechtlichen Verfahrens entscheiden. § 21 des Gesetzes über Ordnungswidrigkeiten bleibt unberührt.</w:t>
      </w:r>
    </w:p>
    <w:p>
      <w:r>
        <w:rPr>
          <w:color w:val="555555"/>
          <w:sz w:val="17"/>
        </w:rPr>
        <w:t xml:space="preserve">Zitiervorschlag: § 18 BbgÖbVIG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https://recht.nulegal.eu/gesetze/Bbg%C3%96bVIG/18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