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BbgÖbVIG (Brandenburg) — Widerruf der Zulassung</w:t>
      </w:r>
    </w:p>
    <w:p>
      <w:r>
        <w:rPr>
          <w:color w:val="555555"/>
          <w:sz w:val="18"/>
        </w:rPr>
        <w:t xml:space="preserve">Brandenburgisches ÖbVI-Gesetz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Aufsichtsbehörde hat die Zulassung mit Wirkung für die Zukunft zu widerrufen,</w:t>
      </w:r>
    </w:p>
    <w:p>
      <w:r>
        <w:t xml:space="preserve">wenn nachträglich Tatsachen eintreten, aufgrund derer die Aufsichtsbehörde nach § 3 berechtigt wäre, die Zulassung zu versagen; die fehlende erforderliche geistige und körperliche Leistungsfähigkeit wird vermutet, wenn die Öffentlich bestellte Vermessungsingenieurin oder der Öffentlich bestellte Vermessungsingenieur das 70. Lebensjahr vollendet hat;</w:t>
      </w:r>
    </w:p>
    <w:p>
      <w:r>
        <w:t xml:space="preserve">aufgrund der Anzeige eines Versicherers nach § 117 Absatz 2 des Versicherungsvertragsgesetzes über den Umstand, der das Nichtbestehen oder die Beendigung der Haftpflichtversicherung nach § 8 Absatz 3 zur Folge hat.</w:t>
      </w:r>
    </w:p>
    <w:p>
      <w:r>
        <w:t xml:space="preserve">(2) Die Aufsichtsbehörde kann die Zulassung widerrufen, wenn die Öffentlich bestellte Vermessungsingenieurin oder der Öffentlich bestellte Vermessungsingenieur</w:t>
      </w:r>
    </w:p>
    <w:p>
      <w:r>
        <w:t xml:space="preserve">länger als ein Jahr keine hoheitlichen Tätigkeiten ausgeübt hat oder</w:t>
      </w:r>
    </w:p>
    <w:p>
      <w:r>
        <w:t xml:space="preserve">überwiegend Erwerbstätigkeiten ausübt, die nicht den Tätigkeiten nach § 1 Absatz 2 und 3 zuzurechnen sind.</w:t>
      </w:r>
    </w:p>
    <w:p>
      <w:r>
        <w:t xml:space="preserve">(3) Im Übrigen bleibt § 49 des Verwaltungsverfahrensgesetzes in Verbindung mit § 1 Absatz 1 des Verwaltungsverfahrensgesetzes für das Land Brandenburg unberührt.</w:t>
      </w:r>
    </w:p>
    <w:p>
      <w:r>
        <w:rPr>
          <w:color w:val="555555"/>
          <w:sz w:val="17"/>
        </w:rPr>
        <w:t xml:space="preserve">Zitiervorschlag: § 15 BbgÖbVIG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https://recht.nulegal.eu/gesetze/Bbg%C3%96bVIG/15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