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BayeAktV-V (Bayern) — Inkrafttreten</w:t>
      </w:r>
    </w:p>
    <w:p>
      <w:r>
        <w:rPr>
          <w:color w:val="555555"/>
          <w:sz w:val="18"/>
        </w:rPr>
        <w:t xml:space="preserve">Verordnung über die elektronische Aktenführung in der Verwaltungsgerichtsbarkeit im Freistaat Bayern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Diese Verordnung tritt am 1. Februar 2023 in Kraft.</w:t>
      </w:r>
    </w:p>
    <w:p>
      <w:r>
        <w:rPr>
          <w:color w:val="555555"/>
          <w:sz w:val="17"/>
        </w:rPr>
        <w:t xml:space="preserve">Zitiervorschlag: § 5 BayeAktV-V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https://recht.nulegal.eu/gesetze/BayeAktV-V/5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