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BayeAktV-V (Bayern) — Führung und Aufbewahrung elektronischer Akten</w:t>
      </w:r>
    </w:p>
    <w:p>
      <w:r>
        <w:rPr>
          <w:color w:val="555555"/>
          <w:sz w:val="18"/>
        </w:rPr>
        <w:t xml:space="preserve">Verordnung über die elektronische Aktenführung in der Verwaltungsgerichtsbarkeit im Freistaat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elektronische Akte ist mit einem Datenverarbeitungssystem zu führen und aufzubewahren, das die Akte benutzbar, lesbar und auffindbar hält.</w:t>
      </w:r>
    </w:p>
    <w:p>
      <w:r>
        <w:t xml:space="preserve">(2) Das eingesetzte Datenverarbeitungssystem soll gewährleisten, dass</w:t>
      </w:r>
    </w:p>
    <w:p>
      <w:r>
        <w:t xml:space="preserve">1. seine Funktionen nur genutzt werden können, wenn sich der Benutzer dem System gegenüber identifiziert und authentisiert,</w:t>
      </w:r>
    </w:p>
    <w:p>
      <w:r>
        <w:t xml:space="preserve">2. die eingeräumten Benutzungsrechte im System verwaltet werden,</w:t>
      </w:r>
    </w:p>
    <w:p>
      <w:r>
        <w:t xml:space="preserve">3. die eingeräumten Benutzungsrechte von dem System geprüft werden,</w:t>
      </w:r>
    </w:p>
    <w:p>
      <w:r>
        <w:t xml:space="preserve">4. die Vornahme von Veränderungen und Ergänzungen im System protokolliert wird,</w:t>
      </w:r>
    </w:p>
    <w:p>
      <w:r>
        <w:t xml:space="preserve">5. eingesetzte Subsysteme ohne Sicherheitsrisiken wiederhergestellt werden können,</w:t>
      </w:r>
    </w:p>
    <w:p>
      <w:r>
        <w:t xml:space="preserve">6. etwaige Verfälschungen der gespeicherten Daten durch Fehlfunktionen des Systems durch geeignete technische Prüfmechanismen rechtzeitig bemerkt werden können,</w:t>
      </w:r>
    </w:p>
    <w:p>
      <w:r>
        <w:t xml:space="preserve">7. die Funktionen des Systems fehlerfrei ablaufen und auftretende Fehlfunktionen unverzüglich gemeldet werden,</w:t>
      </w:r>
    </w:p>
    <w:p>
      <w:r>
        <w:t xml:space="preserve">8. der Austausch von Daten sicher erfolgen kann.</w:t>
      </w:r>
    </w:p>
    <w:p>
      <w:r>
        <w:rPr>
          <w:color w:val="555555"/>
          <w:sz w:val="17"/>
        </w:rPr>
        <w:t xml:space="preserve">Zitiervorschlag: § 3 BayeAktV-V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https://recht.nulegal.eu/gesetze/BayeAktV-V/3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