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BayeAktV-V (Bayern) — Bildung elektronischer Akten</w:t>
      </w:r>
    </w:p>
    <w:p>
      <w:r>
        <w:rPr>
          <w:color w:val="555555"/>
          <w:sz w:val="18"/>
        </w:rPr>
        <w:t xml:space="preserve">Verordnung über die elektronische Aktenführung in der Verwaltungsgerichtsbarkeit im Freistaat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elektronischen Akte werden die zur Akte gebrachten elektronischen Dokumente und Informationen gespeichert.</w:t>
      </w:r>
    </w:p>
    <w:p>
      <w:r>
        <w:rPr>
          <w:color w:val="555555"/>
          <w:sz w:val="17"/>
        </w:rPr>
        <w:t xml:space="preserve">Zitiervorschlag: § 2 BayeAktV-V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https://recht.nulegal.eu/gesetze/BayeAktV-V/2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