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Bay_HesZwVerbStV (Bayern)</w:t>
      </w:r>
    </w:p>
    <w:p>
      <w:r>
        <w:rPr>
          <w:color w:val="555555"/>
          <w:sz w:val="18"/>
        </w:rPr>
        <w:t xml:space="preserve">Staatsvertrag zwischen dem Land Hessen und dem Freistaat Bayern über Zweckverbände, öffentlich-rechtliche Vereinbarungen, kommunale Arbeitsgemeinschaften sowie Wasser- und Bodenverbände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Staatsvertrag bedarf der Ratifikation. Der Vertrag tritt am ersten Tag des auf den Austausch der Ratifikationsurkunden folgenden Monats in Kraft.</w:t>
      </w:r>
    </w:p>
    <w:p>
      <w:r>
        <w:rPr>
          <w:color w:val="555555"/>
          <w:sz w:val="17"/>
        </w:rPr>
        <w:t xml:space="preserve">Zitiervorschlag: Art 8 Bay_HesZwVerbStV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https://recht.nulegal.eu/gesetze/Bay_HesZwVerbStV/8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