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Bay_HesZwVerbStV (Bayern)</w:t>
      </w:r>
    </w:p>
    <w:p>
      <w:r>
        <w:rPr>
          <w:color w:val="555555"/>
          <w:sz w:val="18"/>
        </w:rPr>
        <w:t xml:space="preserve">Staatsvertrag zwischen dem Land Hessen und dem Freistaat Bayern über Zweckverbände, öffentlich-rechtliche Vereinbarungen, kommunale Arbeitsgemeinschaften sowie Wasser- und Bodenverbände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vertragschließenden Länder können diesen Staatsvertrag mit einer Frist von einem Jahr zum Ende eines Kalenderjahres kündigen. Die Artikel 2 und 3 gelten jedoch für die vor dem Außerkrafttreten des Staatsvertrages gebildeten Zweckverbände, abgeschlossenen öffentlich-rechtlichen Vereinbarungen und vereinbarten kommunalen Arbeitsgemeinschaften weiter; ebenso gelten die Artikel 4 und 5 für die hiernach gebildeten Wasser- und Bodenverbände weiter.</w:t>
      </w:r>
    </w:p>
    <w:p>
      <w:r>
        <w:t xml:space="preserve">(2) Ist dieser Staatsvertrag gekündigt, so kann die oberste Kommunalaufsichtsbehörde des anderen Landes (Artikel 3 Absatz 2) den Ausschluß der Mitglieder ihres Landes aus den Zweckverbänden verlangen. Entsprechendes gilt für öffentlich-rechtliche Vereinbarungen. Das gleiche Recht steht dem Fachminister des anderen Landes (Artikel 4 Absatz 2) hinsichtlich der Wasser- und Bodenverbände zu.</w:t>
      </w:r>
    </w:p>
    <w:p>
      <w:r>
        <w:rPr>
          <w:color w:val="555555"/>
          <w:sz w:val="17"/>
        </w:rPr>
        <w:t xml:space="preserve">Zitiervorschlag: Art 7 Bay_HesZwVerbStV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https://recht.nulegal.eu/gesetze/Bay_HesZwVerbStV/7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