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BayZulV (Bayern) — Konkurrenzregelungen</w:t>
      </w:r>
    </w:p>
    <w:p>
      <w:r>
        <w:rPr>
          <w:color w:val="555555"/>
          <w:sz w:val="18"/>
        </w:rPr>
        <w:t xml:space="preserve">Bayerische Zulagenverordnung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Stellenzulage nach Art. 51 Abs. 1 Nr. 5 BayBesG wird nicht neben einer Zulage nach Art. 34 Abs. 2 Satz 1 Nr. 5 BayBesG gewährt. Eine Stellenzulage nach Art. 51 Abs. 1 Nr. 8 BayBesG wird nicht neben einer Zulage nach Art. 34 Abs. 2 Satz 1 Nr. 3 BayBesG gewährt.</w:t>
      </w:r>
    </w:p>
    <w:p>
      <w:r>
        <w:t xml:space="preserve">(2) Eine Stellenzulage nach Art. 51 Abs. 1 Nr. 3 BayBesG wird neben einer Zulage nach Art. 34 Abs. 2 BayBesG nur insoweit gewährt, als sie diese übersteigt.</w:t>
      </w:r>
    </w:p>
    <w:p>
      <w:r>
        <w:t xml:space="preserve">(3) Eine Lehrzulage wird neben einer Zulage nach Art. 34 Abs. 2 BayBesG nur in Höhe der Hälfte des nach Anlage 1 maßgeblichen Betrags gewährt.</w:t>
      </w:r>
    </w:p>
    <w:p>
      <w:r>
        <w:t xml:space="preserve">(4) Abs. 1 bis 3 gelten entsprechend, wenn und solange eine Zulage nach Art. 34 Abs. 2 BayBesG gemäß Art. 21 Abs. 1 Satz 3 BayBesG fortgezahlt oder eine Ausgleichszulage nach Art. 52 Abs. 1 BayBesG gezahlt wird. Dies gilt nicht, soweit die Zulage nach Art. 34 Abs. 2 Satz 1 BayBesG gemäß Art. 21 Abs. 1 Satz 3 BayBesG nicht mindestens in Höhe des nach Anlage 3 maßgeblichen Betrags der Stellenzulage fortgezahlt wird. Ist der Ausgleichsbetrag nach Art. 21 Abs. 1 Satz 3 BayBesG geringer als die Stellenzulage in Höhe des nach Anlage 3 maßgeblichen Betrags, wird die Stellenzulage in der Höhe des Differenzbetrags gezahlt.</w:t>
      </w:r>
    </w:p>
    <w:p>
      <w:r>
        <w:rPr>
          <w:color w:val="555555"/>
          <w:sz w:val="17"/>
        </w:rPr>
        <w:t xml:space="preserve">Zitiervorschlag: § 9 BayZulV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https://recht.nulegal.eu/gesetze/BayZulV/9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