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BayZulV (Bayern) — Höhe der Lehrzulage</w:t>
      </w:r>
    </w:p>
    <w:p>
      <w:r>
        <w:rPr>
          <w:color w:val="555555"/>
          <w:sz w:val="18"/>
        </w:rPr>
        <w:t xml:space="preserve">Bayerische Zulagenverordnung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Höhe der monatlichen Lehrzulage richtet sich nach der maßgeblichen Regellehrverpflichtung pro Woche (§ 1 Abs. 1 Satz 2) und ist nach Besoldungsgruppen gestaffelt. Die Beträge der Lehrzulage im Einzelnen und deren Höchstsatz ergeben sich aus Anlage 1 . Eine Unterrichtsstunde hat 45 Minuten.</w:t>
      </w:r>
    </w:p>
    <w:p>
      <w:r>
        <w:t xml:space="preserve">(2) Bei teilzeitbeschäftigten Beamten und Beamtinnen sind die Mindestunterrichtsstunden nach Anlage 1 entsprechend dem Grad der Teilzeitbeschäftigung zu kürzen. Satz 1 gilt entsprechend bei Dienstermäßigung für Richter und Richterinnen.</w:t>
      </w:r>
    </w:p>
    <w:p>
      <w:r>
        <w:rPr>
          <w:color w:val="555555"/>
          <w:sz w:val="17"/>
        </w:rPr>
        <w:t xml:space="preserve">Zitiervorschlag: § 3 BayZulV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https://recht.nulegal.eu/gesetze/BayZulV/3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