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BayZulV (Bayern) — Gewährung der Erschwerniszulagen bei Teilzeitbeschäftigung</w:t>
      </w:r>
    </w:p>
    <w:p>
      <w:r>
        <w:rPr>
          <w:color w:val="555555"/>
          <w:sz w:val="18"/>
        </w:rPr>
        <w:t xml:space="preserve">Bayerische Zulagenverordnung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8 gilt entsprechend für die Erschwerniszulagen, die in festen Monatsbeträgen gezahlt werden.</w:t>
      </w:r>
    </w:p>
    <w:p>
      <w:r>
        <w:rPr>
          <w:color w:val="555555"/>
          <w:sz w:val="17"/>
        </w:rPr>
        <w:t xml:space="preserve">Zitiervorschlag: § 19 BayZulV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https://recht.nulegal.eu/gesetze/BayZulV/19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