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BayWvSWaldVV (Bayern) — Inhalt der Verzeichnisse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die Verzeichnisse sind alle Schutzwälder im Sinn des Art. 10 Abs. 1 BayWaldG aufzunehmen.</w:t>
      </w:r>
    </w:p>
    <w:p>
      <w:r>
        <w:t xml:space="preserve">(2) In den Karteiblättern sind unanfechtbar gewordene Anordnungen nach Art. 39 in Verbindung mit Art. 14 Abs. 2 und Erlaubnisse nach Art. 39 in Verbindung mit Art. 14 Abs. 3 BayWaldG einzutragen.</w:t>
      </w:r>
    </w:p>
    <w:p>
      <w:r>
        <w:t xml:space="preserve">(3) Der Inhalt der Anordnungen und Erlaubnisse (Absatz 2) ist außerdem stichwortartig in die Karteiblätter aufzunehmen.</w:t>
      </w:r>
    </w:p>
    <w:p>
      <w:r>
        <w:rPr>
          <w:color w:val="555555"/>
          <w:sz w:val="17"/>
        </w:rPr>
        <w:t xml:space="preserve">Zitiervorschlag: § 4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