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BayWvSWaldVV (Bayern) — Form der Schutzwaldverzeichnisse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Schutzwaldverzeichnisse bestehen aus:</w:t>
      </w:r>
    </w:p>
    <w:p>
      <w:r>
        <w:t xml:space="preserve">1. Übersichtsblättern (Anlage 1), in denen ein zusammenhängender Schutzwald innerhalb des Bereichs einer unteren Forstbehörde hinsichtlich seiner Grenzen, seiner Größe und seiner Art (Art. 10 Abs. 1 Nrn. 1 bis 3 BayWaldG) beschrieben ist; die Übersichtsblätter sind fortlaufend numeriert und haben die Größe DIN-A 4;</w:t>
      </w:r>
    </w:p>
    <w:p>
      <w:r>
        <w:t xml:space="preserve">2. Karteiblättern (Anlage 2); jedes Flurstück innerhalb eines in einem Übersichtsblatt beschriebenen Schutzwaldes erhält ein eigenes Karteiblatt; die Karteiblätter haben die Größe DIN-A 4 und weisen folgende Farben auf:</w:t>
      </w:r>
    </w:p>
    <w:p>
      <w:r>
        <w:t xml:space="preserve">Staatswald</w:t>
      </w:r>
    </w:p>
    <w:p>
      <w:r>
        <w:t xml:space="preserve">(Art. 3 Abs. 1 Nr. 1 BayWaldG)</w:t>
      </w:r>
    </w:p>
    <w:p>
      <w:r>
        <w:t xml:space="preserve">hellgrün</w:t>
      </w:r>
    </w:p>
    <w:p>
      <w:r>
        <w:t xml:space="preserve">Körperschaftswald</w:t>
      </w:r>
    </w:p>
    <w:p>
      <w:r>
        <w:t xml:space="preserve">(Art. 3 Abs. 1 Nr. 2, Abs. 2 BayWaldG)</w:t>
      </w:r>
    </w:p>
    <w:p>
      <w:r>
        <w:t xml:space="preserve">hellrot</w:t>
      </w:r>
    </w:p>
    <w:p>
      <w:r>
        <w:t xml:space="preserve">Privatwald</w:t>
      </w:r>
    </w:p>
    <w:p>
      <w:r>
        <w:t xml:space="preserve">(Art. 3 Abs. 1 Nr. 3 BayWaldG);</w:t>
      </w:r>
    </w:p>
    <w:p>
      <w:r>
        <w:t xml:space="preserve">hellgelb</w:t>
      </w:r>
    </w:p>
    <w:p>
      <w:r>
        <w:t xml:space="preserve">3. Übersichtskarten für alle Schutzwälder innerhalb des Bereichs einer unteren Forstbehörde (Maßstab mindestens 1:50 000); die einzelnen zusammenhängenden Schutzwälder sind mit der jeweils entsprechenden Nummer des Übersichtsblattes gekennzeichnet und sind in der Übersichtskarte schwarz umrandet.</w:t>
      </w:r>
    </w:p>
    <w:p>
      <w:r>
        <w:t xml:space="preserve">(2) Lassen sich die Grenzen des Schutzwaldes im Übersichtsblatt oder im Karteiblatt nicht hinreichend deutlich beschreiben, so genügt es, die Grenzen grob zu umschreiben und auf die Übersichtskarten Bezug zu nehmen.</w:t>
      </w:r>
    </w:p>
    <w:p>
      <w:r>
        <w:t xml:space="preserve">(3) Die Übersichtsblätter sind nach ihren Nummern, die jeweils dazugehörigen Karteiblätter nach ihren Flurstücksnummern zu ordnen.</w:t>
      </w:r>
    </w:p>
    <w:p>
      <w:r>
        <w:t xml:space="preserve">(4) Die Schutzwaldverzeichnisse können mit vergleichbarer inhaltlicher Struktur auch in automatisierter elektronischer Form geführt werden.</w:t>
      </w:r>
    </w:p>
    <w:p>
      <w:r>
        <w:rPr>
          <w:color w:val="555555"/>
          <w:sz w:val="17"/>
        </w:rPr>
        <w:t xml:space="preserve">Zitiervorschlag: § 3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