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BayWvSWaldVV (Bayern) — Inkrafttreten</w:t>
      </w:r>
    </w:p>
    <w:p>
      <w:r>
        <w:rPr>
          <w:color w:val="555555"/>
          <w:sz w:val="18"/>
        </w:rPr>
        <w:t xml:space="preserve">Verordnung über das Waldverzeichnis und die Schutzwaldverzeichnisse (WuSWaldVV)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1995 in Kraft.</w:t>
      </w:r>
    </w:p>
    <w:p>
      <w:r>
        <w:rPr>
          <w:color w:val="555555"/>
          <w:sz w:val="17"/>
        </w:rPr>
        <w:t xml:space="preserve">Zitiervorschlag: § 10 BayWvSWaldVV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https://recht.nulegal.eu/gesetze/BayWvSWaldVV/10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