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BayWolfV (Bayern)</w:t>
      </w:r>
    </w:p>
    <w:p>
      <w:r>
        <w:rPr>
          <w:color w:val="555555"/>
          <w:sz w:val="18"/>
        </w:rPr>
        <w:t xml:space="preserve">Bayerische Wolfsverordnung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45 Abs. 7 Satz 4 und 5 des Bundesnaturschutzgesetzes (BNatSchG) vom 29. Juli 2009 (BGBl. I S. 2542), das zuletzt durch Art. 5 des Gesetzes vom 3. Juli 2024 (BGBl. 2024 I Nr. 225) geändert worden ist, verordnet die Bayerische Staatsregierung:</w:t>
      </w:r>
    </w:p>
    <w:p>
      <w:r>
        <w:rPr>
          <w:color w:val="555555"/>
          <w:sz w:val="17"/>
        </w:rPr>
        <w:t xml:space="preserve">Zitiervorschlag: Eingangsformel 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https://recht.nulegal.eu/gesetze/BayWolfV/eingangsformel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