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BayWolfV (Bayern) — Inkrafttreten</w:t>
      </w:r>
    </w:p>
    <w:p>
      <w:r>
        <w:rPr>
          <w:color w:val="555555"/>
          <w:sz w:val="18"/>
        </w:rPr>
        <w:t xml:space="preserve">Bayerische Wolfsverordnung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November 2024 in Kraft.</w:t>
      </w:r>
    </w:p>
    <w:p>
      <w:r>
        <w:rPr>
          <w:color w:val="555555"/>
          <w:sz w:val="17"/>
        </w:rPr>
        <w:t xml:space="preserve">Zitiervorschlag: § 4 BayWolfV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https://recht.nulegal.eu/gesetze/BayWolfV/4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