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BayWolfV (Bayern) — Mitteilungspflicht, Beweissicherung</w:t>
      </w:r>
    </w:p>
    <w:p>
      <w:r>
        <w:rPr>
          <w:color w:val="555555"/>
          <w:sz w:val="18"/>
        </w:rPr>
        <w:t xml:space="preserve">Bayerische Wolfsverordnung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Sämtliche Maßnahmen einschließlich Maßnahmeort, -datum und -methode sowie die ausführende Person oder die ausführende beauftragte Gruppe sind unverzüglich dem Staatsministerium sowie der genehmigenden Kreisverwaltungsbehörde mitzuteilen.</w:t>
      </w:r>
    </w:p>
    <w:p>
      <w:r>
        <w:t xml:space="preserve">(2) Die auf Grundlage dieser Verordnung getöteten Wölfe sind dem Landesamt für Umwelt zur Verfügung zu stellen.</w:t>
      </w:r>
    </w:p>
    <w:p>
      <w:r>
        <w:rPr>
          <w:color w:val="555555"/>
          <w:sz w:val="17"/>
        </w:rPr>
        <w:t xml:space="preserve">Zitiervorschlag: § 3 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https://recht.nulegal.eu/gesetze/BayWolfV/3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