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BayWolfV (Bayern) — Abwendung ernster wirtschaftlicher Schäden</w:t>
      </w:r>
    </w:p>
    <w:p>
      <w:r>
        <w:rPr>
          <w:color w:val="555555"/>
          <w:sz w:val="18"/>
        </w:rPr>
        <w:t xml:space="preserve">Bayerische Wolfsverordnung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Abwendung ernster landwirtschaftlicher oder sonstiger ernster wirtschaftlicher Schäden wird nach Maßgabe der nachfolgenden Absätze gestattet, Wölfen nachzustellen, sie zu fangen, zu vergrämen oder mit einer geeigneten Schusswaffe zu töten, soweit es keine zumutbare Alternative gibt. Voraussetzung ist ferner, dass sich der Erhaltungszustand der Population nicht verschlechtert und die Wiederherstellung eines günstigen Erhaltungszustands nicht behindert wird.</w:t>
      </w:r>
    </w:p>
    <w:p>
      <w:r>
        <w:t xml:space="preserve">(2) Die Voraussetzungen des Abs. 1 Satz 1 sind unter Berücksichtigung des § 45a Abs. 2 BNatSchG insbesondere gegeben, wenn Wölfe in nicht schützbaren Weidegebieten ein Nutztier oder einen Equiden verletzen oder töten. Maßnahmen nach Satz 1 können gegen einen Wolf gerichtet werden, der in räumlichem und zeitlichem Zusammenhang mit dem betreffenden Ereignis angetroffen wird.</w:t>
      </w:r>
    </w:p>
    <w:p>
      <w:r>
        <w:t xml:space="preserve">(3) Nicht schützbare Weidegebiete sind Gebiete, bei denen ein Herdenschutz entweder nicht möglich oder nicht zumutbar ist. Nicht zumutbar zäunbare naturräumliche Untereinheiten, für die die untere Naturschutzbehörde festgestellt hat, dass die Alternative der Behirtung in Verbindung mit einer nächtlichen Einstallung oder Unterbringung in einem wolfsabweisenden Nachtpferch nicht zumutbar ist, stehen nicht schützbaren Weidegebieten gleich. Die Ermächtigung nach § 45 Abs. 7 Satz 4 BNatSchG wird insoweit auf das Staatsministerium für Umwelt und Verbraucherschutz (Staatsministerium) übertragen, als dieses ermächtigt wird, die nicht schützbaren Weidegebiete nach Satz 1 und die nicht zumutbar zäunbaren naturräumlichen Untereinheiten nach Satz 2 durch Rechtsverordnung festzulegen.</w:t>
      </w:r>
    </w:p>
    <w:p>
      <w:r>
        <w:t xml:space="preserve">(4) Hält die untere Naturschutzbehörde die obigen Voraussetzungen für gegeben, bestimmt sie die zu ergreifenden Maßnahmen und die zur Ausführung geeigneten und berechtigten Personen. § 1 Abs. 3 Satz 2 gilt entsprechend.</w:t>
      </w:r>
    </w:p>
    <w:p>
      <w:r>
        <w:rPr>
          <w:color w:val="555555"/>
          <w:sz w:val="17"/>
        </w:rPr>
        <w:t xml:space="preserve">Zitiervorschlag: § 2 BayWolfV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https://recht.nulegal.eu/gesetze/BayWolfV/2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