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BayWoFG (Bayern) — Fördergrundsätze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Förderung sind insbesondere zu berücksichtigen</w:t>
      </w:r>
    </w:p>
    <w:p>
      <w:r>
        <w:t xml:space="preserve">1. die regionalen und örtlichen wohnungswirtschaftlichen Verhältnisse,</w:t>
      </w:r>
    </w:p>
    <w:p>
      <w:r>
        <w:t xml:space="preserve">2. die besonderen Anforderungen des zu versorgenden Personenkreises, insbesondere die Anforderungen des barrierefreien Bauens für Personen, die infolge von Alter, Behinderung oder Krankheit dauerhaft oder vorübergehend in ihrer Mobilität eingeschränkt sind,</w:t>
      </w:r>
    </w:p>
    <w:p>
      <w:r>
        <w:t xml:space="preserve">3. die Schaffung und Erhaltung sozial stabiler Bewohnerstrukturen sowie ausgewogener Siedlungsstrukturen,</w:t>
      </w:r>
    </w:p>
    <w:p>
      <w:r>
        <w:t xml:space="preserve">4. der sparsame Umgang mit Grund und Boden, die ökologischen Anforderungen an den Bau von Wohnraum und die Anforderungen Kosten sparenden und Ressourcen schonenden Bauens,</w:t>
      </w:r>
    </w:p>
    <w:p>
      <w:r>
        <w:t xml:space="preserve">5. Maßnahmen, die im Zusammenhang mit städtebaulichen Erneuerungsmaßnahmen stehen,</w:t>
      </w:r>
    </w:p>
    <w:p>
      <w:r>
        <w:t xml:space="preserve">6. der Beitrag des genossenschaftlichen Wohnens zur Erreichung der Ziele der Wohnraumförderung,</w:t>
      </w:r>
    </w:p>
    <w:p>
      <w:r>
        <w:t xml:space="preserve">7. die Vermeidung nicht gerechtfertigter Wohnkostenentlastungen,</w:t>
      </w:r>
    </w:p>
    <w:p>
      <w:r>
        <w:t xml:space="preserve">8. besondere Ansätze zur Weiterentwicklung nachhaltiger Wohnraumversorgung.</w:t>
      </w:r>
    </w:p>
    <w:p>
      <w:r>
        <w:rPr>
          <w:color w:val="555555"/>
          <w:sz w:val="17"/>
        </w:rPr>
        <w:t xml:space="preserve">Zitiervorschlag: Art 8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