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BayWoFG (Bayern) — Überleitungsregelungen</w:t>
      </w:r>
    </w:p>
    <w:p>
      <w:r>
        <w:rPr>
          <w:color w:val="555555"/>
          <w:sz w:val="18"/>
        </w:rPr>
        <w:t xml:space="preserve">Bayerisches Wohnraumförderungsgesetz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Vorschriften dieses Gesetzes finden entsprechend auf Wohnraum Anwendung, der nach dem Wohnraumförderungsgesetz vom 13. September 2001 (BGBl I S. 2376), zuletzt geändert durch Art. 2 Abs. 13 des Gesetzes vom 5. Dezember 2006 (BGBl I S. 2748), gefördert worden ist. Nach dem Wohnraumförderungsgesetz vor dem 1. Mai 2007 wirksam gewordene Entscheidungen und sonstige Maßnahmen gelten unbeschadet Art. 11 Abs. 2 Satz 1 Nr. 2 weiter. Bindungsrechtliche Verfahren nach dem Wohnraumförderungsgesetz, die vor dem 1. Mai 2007 eingeleitet worden sind, werden nach den bisher geltenden Vorschriften abgeschlossen.</w:t>
      </w:r>
    </w:p>
    <w:p>
      <w:r>
        <w:t xml:space="preserve">(2) Folgende Vorschriften des Zweiten Wohnungsbaugesetzes in der bis zum 31. Dezember 2001 geltenden Fassung sind weiter anzuwenden:</w:t>
      </w:r>
    </w:p>
    <w:p>
      <w:r>
        <w:t xml:space="preserve">1. § 42 Abs. 1 Satz 3 II. WoBauG in Verbindung mit § 88 Abs. 3 II. WoBauG auf nach den §§ 42 bis 45 II. WoBauG bewilligte Darlehen für die Bilanzierung von Aufwendungsdarlehen und Annuitätsdarlehen,</w:t>
      </w:r>
    </w:p>
    <w:p>
      <w:r>
        <w:t xml:space="preserve">2. § 44 Abs. 2 und 3 II. WoBauG für Zinserhöhungen und erstmalige Verzinsungen,</w:t>
      </w:r>
    </w:p>
    <w:p>
      <w:r>
        <w:t xml:space="preserve">3. § 44 Abs. 4 Satz 2 und 3 II. WoBauG für Tilgungserhöhungen,</w:t>
      </w:r>
    </w:p>
    <w:p>
      <w:r>
        <w:t xml:space="preserve">4. § 44 Abs. 5 Satz 2 und 3 II. WoBauG für Kündigungen,</w:t>
      </w:r>
    </w:p>
    <w:p>
      <w:r>
        <w:t xml:space="preserve">5. § 45 Abs. 3 Satz 2 Halbsatz 2, Abs. 6 Satz 4 und Abs. 7 II. WoBauG für die Bewilligung eines Zusatzdarlehens bei Kaufeigenheimen, Trägerkleinsiedlungen und Kaufeigentumswohnungen,</w:t>
      </w:r>
    </w:p>
    <w:p>
      <w:r>
        <w:t xml:space="preserve">6. § 45 Abs. 8 II. WoBauG für die Rückzahlung eines Familienzusatzdarlehens,</w:t>
      </w:r>
    </w:p>
    <w:p>
      <w:r>
        <w:t xml:space="preserve">7. § 87a II. WoBauG auf nach § 87a II. WoBauG bewilligte Wohnungsfürsorgemittel; § 87a Abs. 5 II. WoBauG gilt, soweit auf § 18a des Wohnungsbindungsgesetzes verwiesen wird, nicht für Darlehen aus Wohnungsfürsorgemitteln des Freistaates Bayern,</w:t>
      </w:r>
    </w:p>
    <w:p>
      <w:r>
        <w:t xml:space="preserve">8. § 88b Abs. 2 bis 4 und § 88c II. WoBauG auf nach § 88 II. WoBauG bewilligte Aufwendungsdarlehen und -zuschüsse,</w:t>
      </w:r>
    </w:p>
    <w:p>
      <w:r>
        <w:t xml:space="preserve">9. § 88 Abs. 3 II. WoBauG für die Ausweisung eines Aufwendungsdarlehens in der Bilanz,</w:t>
      </w:r>
    </w:p>
    <w:p>
      <w:r>
        <w:t xml:space="preserve">10. § 88e Abs. 2 und 3 und § 88f Abs. 2 II. WoBauG auf nach § 88e II. WoBauG bewilligte einkommensorientierte Förderung.</w:t>
      </w:r>
    </w:p>
    <w:p>
      <w:r>
        <w:t xml:space="preserve">Für die Sicherung der Zweckbestimmung von Wohnungen, die nach den §§ 87a, 87b, 88, 88d und 88e II. WoBauG gefördert worden sind, finden an Stelle des § 88f II. WoBauG Art. 16 Abs. 4 und 5 Satz 1 sowie Art. 21 Anwendung. Bei nach §§ 88 bis 88d II. WoBauG geförderten Wohnungen finden für die Einkommensermittlung die Art. 4 bis 7 Anwendung. Auf der Grundlage des Zweiten Wohnungsbaugesetzes wirksame Entscheidungen und sonstige Maßnahmen gelten unbeschadet Art. 11 Abs. 2 Satz 1 Nr. 2 weiter.</w:t>
      </w:r>
    </w:p>
    <w:p>
      <w:r>
        <w:rPr>
          <w:color w:val="555555"/>
          <w:sz w:val="17"/>
        </w:rPr>
        <w:t xml:space="preserve">Zitiervorschlag: Art 24 BayWoFG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https://recht.nulegal.eu/gesetze/BayWoFG/24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