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BayWoFG (Bayern) — Zuständige Stellen, Verordnungsermächtigung</w:t>
      </w:r>
    </w:p>
    <w:p>
      <w:r>
        <w:rPr>
          <w:color w:val="555555"/>
          <w:sz w:val="18"/>
        </w:rPr>
        <w:t xml:space="preserve">Bayerisches Wohnraumförderungsgesetz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Wohnen, Bau und Verkehr wird ermächtigt, durch Rechtsverordnung die zuständigen Stellen zur Durchführung dieses Gesetzes zu bestimmen.</w:t>
      </w:r>
    </w:p>
    <w:p>
      <w:r>
        <w:rPr>
          <w:color w:val="555555"/>
          <w:sz w:val="17"/>
        </w:rPr>
        <w:t xml:space="preserve">Zitiervorschlag: Art 23 BayWoFG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https://recht.nulegal.eu/gesetze/BayWoFG/23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