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BayWoFG (Bayern) — Datenschutz</w:t>
      </w:r>
    </w:p>
    <w:p>
      <w:r>
        <w:rPr>
          <w:color w:val="555555"/>
          <w:sz w:val="18"/>
        </w:rPr>
        <w:t xml:space="preserve">Bayerisches Wohnraumförderungsgesetz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dies zur Sicherung der Zweckbestimmung von Wohnraum und der sonstigen Bestimmungen der Förderentscheidung erforderlich ist, verarbeitet die zuständige Stelle Daten über den Wohnraum, seine Nutzung und die Bindungen, den Verfügungsberechtigten und die Parteien des Mietvertrags.</w:t>
      </w:r>
    </w:p>
    <w:p>
      <w:r>
        <w:t xml:space="preserve">(2) Soweit dies für die Förderung von Wohnraum oder zur Feststellung der Wohnberechtigung erforderlich ist und begründete Zweifel an der Richtigkeit der Angaben und vorgelegten Nachweise bestehen, haben Finanzbehörden und Arbeitgeber der zuständigen Stelle Auskunft über die Einkommensverhältnisse zu erteilen; vor einem Auskunftsersuchen soll dem Betroffenen Gelegenheit zur Stellungnahme gegeben werden.</w:t>
      </w:r>
    </w:p>
    <w:p>
      <w:r>
        <w:t xml:space="preserve">(3) Fördermittel, die in Abhängigkeit vom jeweiligen Haushaltseinkommen des Mieters gewährt werden, können auch dann an den Vermieter ausgezahlt werden, wenn dieser aus den geleisteten Zahlungen Rückschlüsse auf das Haushaltseinkommen ziehen kann.</w:t>
      </w:r>
    </w:p>
    <w:p>
      <w:r>
        <w:rPr>
          <w:color w:val="555555"/>
          <w:sz w:val="17"/>
        </w:rPr>
        <w:t xml:space="preserve">Zitiervorschlag: Art 21 BayWoFG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https://recht.nulegal.eu/gesetze/BayWoFG/21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