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BayWoFG (Bayern) — Besondere Wohnformen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Förderung besonderer Wohnformen kann zur Erreichung des besonderen Förderzwecks von Art. 4, 10 bis 16 abgewichen werden; dies gilt insbesondere für Wohnraum für Studierende, ältere Menschen und Menschen mit Behinderung sowie für Wohngemeinschaften zur gegenseitigen Unterstützung im Alter oder bei Hilfebedürftigkeit und betreute Wohngemeinschaften.</w:t>
      </w:r>
    </w:p>
    <w:p>
      <w:r>
        <w:t xml:space="preserve">(2) Soll geförderter Wohnraum zur Erreichung eines besonderen Zwecks im Sinn des Abs. 1 genutzt werden, kann die zuständige Stelle von der Förderentscheidung und von Art. 4, 14 bis 16 abweichende Bestimmungen treffen.</w:t>
      </w:r>
    </w:p>
    <w:p>
      <w:r>
        <w:rPr>
          <w:color w:val="555555"/>
          <w:sz w:val="17"/>
        </w:rPr>
        <w:t xml:space="preserve">Zitiervorschlag: Art 19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