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BayWoBindG (Bayern) — Ermittlung der Kostenmiete in besonderen Fällen</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die Kostenmiete nach Ablauf von sechs Jahren seit Bezugsfertigkeit der Wohnungen ermittelt, dürfen bei der Aufstellung der Wirtschaftlichkeitsberechnung laufende Aufwendungen, insbesondere Zinsen für die Eigenleistungen, auch dann angesetzt werden, wenn sie in einer früheren Wirtschaftlichkeitsberechnung nicht oder nur in geringerer Höhe in Anspruch genommen oder anerkannt worden sind oder wenn auf ihren Ansatz ganz oder teilweise verzichtet worden ist.</w:t>
      </w:r>
    </w:p>
    <w:p>
      <w:r>
        <w:t xml:space="preserve">(2) Die Bewilligungsstelle kann zustimmen, dass demselben Eigentümer gehörende Gebäude mit öffentlich geförderten Wohnungen, die bisher selbstständige Wirtschaftseinheiten bildeten, oder mehrere bisherige Wirtschaftseinheiten zu einer Wirtschaftseinheit zusammengefasst werden, sofern die Gebäude oder Wirtschaftseinheiten in örtlichem Zusammenhang stehen und die Wohnungen keine wesentlichen Unterschiede in ihrem Wohnwert aufweisen. In die neue Wirtschaftlichkeitsberechnung sind die bisherigen Gesamtkosten, Finanzierungsmittel und laufenden Aufwendungen zu übernehmen. Die sich hieraus ergebende neue Durchschnittsmiete bedarf der Genehmigung der Bewilligungsstelle. Die öffentlichen Mittel gelten als für sämtliche Wohnungen der neuen Wirtschaftseinheit bewilligt.</w:t>
      </w:r>
    </w:p>
    <w:p>
      <w:r>
        <w:t xml:space="preserve">(3) Die Bewilligungsstelle kann zustimmen, dass eine Wirtschaftseinheit aufgeteilt wird. Ist eine Wirtschaftseinheit nach Satz 1 aufgeteilt worden, ist insbesondere Wohneigentum an öffentlich geförderten Wohnungen einer Wirtschaftseinheit oder eines Gebäudes begründet worden, sind Wirtschaftlichkeitsberechnungen jeweils für die neuen Wirtschaftseinheiten, für die Gebäude oder für die einzelnen Wohnungen aufzustellen. Abs. 2 Sätze 2 bis 4 gelten entsprechend.</w:t>
      </w:r>
    </w:p>
    <w:p>
      <w:r>
        <w:rPr>
          <w:color w:val="555555"/>
          <w:sz w:val="17"/>
        </w:rPr>
        <w:t xml:space="preserve">Zitiervorschlag: Art 9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