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 BayWoBindG (Bayern) — Inkrafttreten</w:t>
      </w:r>
    </w:p>
    <w:p>
      <w:r>
        <w:rPr>
          <w:color w:val="555555"/>
          <w:sz w:val="18"/>
        </w:rPr>
        <w:t xml:space="preserve">Bayerisches Wohnungsbindungsgesetz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Mai 2007 in Kraft.</w:t>
      </w:r>
    </w:p>
    <w:p>
      <w:r>
        <w:t xml:space="preserve">[Amtl. Anm.:] Diese Vorschrift betrifft das Inkrafttreten des Gesetzes in der ursprünglichen Fassung vom 10. April 2007 (GVBl S. 267).</w:t>
      </w:r>
    </w:p>
    <w:p>
      <w:r>
        <w:rPr>
          <w:color w:val="555555"/>
          <w:sz w:val="17"/>
        </w:rPr>
        <w:t xml:space="preserve">Zitiervorschlag: Art 35 BayWoBindG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https://recht.nulegal.eu/gesetze/BayWoBindG/35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