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BayWoBindG (Bayern) — Einschränkung des Grundrechts der Unverletzlichkeit der Wohnung</w:t>
      </w:r>
    </w:p>
    <w:p>
      <w:r>
        <w:rPr>
          <w:color w:val="555555"/>
          <w:sz w:val="18"/>
        </w:rPr>
        <w:t xml:space="preserve">Bayerisches Wohnungsbindungsgesetz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Durch dieses Gesetz wird das Grundrecht der Unverletzlichkeit der Wohnung (Art. 13 des Grundgesetzes, Art. 106 Abs. 3 der Verfassung) eingeschränkt.</w:t>
      </w:r>
    </w:p>
    <w:p>
      <w:r>
        <w:rPr>
          <w:color w:val="555555"/>
          <w:sz w:val="17"/>
        </w:rPr>
        <w:t xml:space="preserve">Zitiervorschlag: Art 33 BayWoBindG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https://recht.nulegal.eu/gesetze/BayWoBindG/33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