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23 BayWoBindG (Bayern) — Mieterhöhung</w:t>
      </w:r>
    </w:p>
    <w:p>
      <w:r>
        <w:rPr>
          <w:color w:val="555555"/>
          <w:sz w:val="18"/>
        </w:rPr>
        <w:t xml:space="preserve">Bayerisches Wohnungsbindungsgesetz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Durchführung einer Mieterhöhung auf Grund der höheren Verzinsung nach den Art. 19 bis 21 finden Art. 11 Abs. 1, 2 und 4 Anwendung. Soweit sich eine Mieterhöhung nur auf Grund der Art. 19 bis 21 ergibt, braucht der Vermieter jedoch abweichend von Art. 11 Abs. 1 der Erklärung eine Wirtschaftlichkeitsberechnung oder einen Auszug daraus oder eine Zusatzberechnung nicht beizufügen; er hat dem Mieter auf Verlangen Einsicht in die Mitteilung der darlehensverwaltenden Stelle nach Art. 20 Abs. 3 und, soweit eine Wirtschaftlichkeitsberechnung aufzustellen ist, auch in diese zu gewähren.</w:t>
      </w:r>
    </w:p>
    <w:p>
      <w:r>
        <w:t xml:space="preserve">(2) Für Mieterhöhungen auf Grund der Art. 19 bis 21 ist eine vertragliche Vereinbarung, wonach eine höhere Miete für eine zurückliegende Zeit verlangt werden kann, unwirksam.</w:t>
      </w:r>
    </w:p>
    <w:p>
      <w:r>
        <w:rPr>
          <w:color w:val="555555"/>
          <w:sz w:val="17"/>
        </w:rPr>
        <w:t xml:space="preserve">Zitiervorschlag: Art 23 BayWoBindG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https://recht.nulegal.eu/gesetze/BayWoBindG/23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