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17 BayWoBindG (Bayern) — Ende der Eigenschaft „öffentlich gefördert“ bei Zwangsversteigerung</w:t>
      </w:r>
    </w:p>
    <w:p>
      <w:r>
        <w:rPr>
          <w:color w:val="555555"/>
          <w:sz w:val="18"/>
        </w:rPr>
        <w:t xml:space="preserve">Bayerisches Wohnungsbindungsgesetz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Bei einer Zwangsversteigerung des Grundstücks gelten die Wohnungen, für die öffentliche Mittel als Darlehen bewilligt worden sind, bis zum Ablauf des dritten Kalenderjahres nach dem Kalenderjahr, in dem der Zuschlag erteilt worden ist, als öffentlich gefördert, sofern die wegen der öffentlichen Mittel begründeten Grundpfandrechte mit dem Zuschlag erlöschen; abweichend hiervon gilt ein Eigenheim, eine Eigensiedlung oder eine eigengenutzte Eigentumswohnung im Sinn des Art. 16 Abs. 3 nur bis zum Zuschlag als öffentlich gefördert, sofern die wegen der öffentlichen Mittel begründeten Grundpfandrechte mit dem Zuschlag erlöschen. Sind die öffentlichen Mittel lediglich als Zuschüsse bewilligt worden, so gelten die Wohnungen bis zum Zuschlag als öffentlich gefördert. Soweit nach Art. 15 oder 16 die Wohnungen nur bis zu einem früheren Zeitpunkt als öffentlich gefördert gelten, ist dieser Zeitpunkt maßgebend.</w:t>
      </w:r>
    </w:p>
    <w:p>
      <w:r>
        <w:t xml:space="preserve">(2) Sind die wegen der öffentlichen Mittel begründeten Grundpfandrechte mit dem Zuschlag nicht erloschen, so gelten die Wohnungen bis zu dem sich aus Art. 15 oder 16 ergebenden Zeitpunkt als öffentlich gefördert.</w:t>
      </w:r>
    </w:p>
    <w:p>
      <w:r>
        <w:rPr>
          <w:color w:val="555555"/>
          <w:sz w:val="17"/>
        </w:rPr>
        <w:t xml:space="preserve">Zitiervorschlag: Art 17 BayWoBindG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https://recht.nulegal.eu/gesetze/BayWoBindG/17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