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BayWoBindG (Bayern) — Beginn der Eigenschaft „öffentlich gefördert“</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Wohnung, für die die öffentlichen Mittel vor der Bezugsfertigkeit bewilligt worden sind, gilt von dem Zeitpunkt an als öffentlich gefördert, in dem der Bescheid über die Bewilligung der öffentlichen Mittel (Bewilligungsbescheid) dem Bauherrn zugegangen ist. Sind die öffentlichen Mittel erstmalig nach der Bezugsfertigkeit der Wohnung bewilligt worden, so gilt die Wohnung, wenn der Bauherr die Bewilligung der öffentlichen Mittel vor der Bezugsfertigkeit beantragt hat, von der Bezugsfertigkeit an als öffentlich gefördert, im Übrigen von dem Zugang des Bewilligungsbescheids an.</w:t>
      </w:r>
    </w:p>
    <w:p>
      <w:r>
        <w:t xml:space="preserve">(2) Wird die Bewilligung der öffentlichen Mittel vor der Bezugsfertigkeit der Wohnung widerrufen, so gilt die Wohnung als von Anfang an nicht öffentlich gefördert. Das Gleiche gilt, wenn die Bewilligung nach der Bezugsfertigkeit der Wohnung, jedoch vor der erstmaligen Auszahlung der öffentlichen Mittel widerrufen wird.</w:t>
      </w:r>
    </w:p>
    <w:p>
      <w:r>
        <w:t xml:space="preserve">(3) Für die Anwendung der Abs. 1 und 2 ist es unerheblich, in welcher Höhe, zu welchen Bedingungen, für welche Zeitdauer und für welchen Finanzierungsraum die öffentlichen Mittel bewilligt worden sind.</w:t>
      </w:r>
    </w:p>
    <w:p>
      <w:r>
        <w:t xml:space="preserve">(4) Eine Wohnung gilt als bezugsfertig, wenn sie so weit fertig gestellt ist, dass den zukünftigen Bewohnern zugemutet werden kann, sie zu beziehen; die Genehmigung der Bauaufsichtsbehörde zum Beziehen ist nicht entscheidend. Im Fall des Wiederaufbaus ist für die Bezugsfertigkeit der Zeitpunkt maßgebend, in dem die durch den Wiederaufbau geschaffene Wohnung bezugsfertig geworden ist; Entsprechendes gilt im Fall der Wiederherstellung, des Ausbaus oder der Erweiterung.</w:t>
      </w:r>
    </w:p>
    <w:p>
      <w:r>
        <w:rPr>
          <w:color w:val="555555"/>
          <w:sz w:val="17"/>
        </w:rPr>
        <w:t xml:space="preserve">Zitiervorschlag: Art 13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