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BayWoBindG (Bayern) — Anwendungsbereich</w:t>
      </w:r>
    </w:p>
    <w:p>
      <w:r>
        <w:rPr>
          <w:color w:val="555555"/>
          <w:sz w:val="18"/>
        </w:rPr>
        <w:t xml:space="preserve">Bayerisches Wohnungsbindungsgesetz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ist auf Wohnungen, für die öffentliche Mittel im Sinn des § 3 des Ersten Wohnungsbaugesetzes oder im Sinn des § 6 Abs. 1 des Zweiten Wohnungsbaugesetzes (II. WoBauG) eingesetzt worden sind, anzuwenden. Dies gilt auch für Wohnungen, für die</w:t>
      </w:r>
    </w:p>
    <w:p>
      <w:r>
        <w:t xml:space="preserve">1. ein Darlehen oder ein Zuschuss aus Wohnungsfürsorgemitteln nach § 87a Abs. 1 Satz 1 II. WoBauG bewilligt worden ist, nach Maßgabe des § 87a II. WoBauG,</w:t>
      </w:r>
    </w:p>
    <w:p>
      <w:r>
        <w:t xml:space="preserve">2. ein Aufwendungszuschuss oder ein Aufwendungsdarlehen nach § 88 II. WoBauG bewilligt worden ist, nach Maßgabe des § 88b Abs. 3 II. WoBauG.</w:t>
      </w:r>
    </w:p>
    <w:p>
      <w:r>
        <w:rPr>
          <w:color w:val="555555"/>
          <w:sz w:val="17"/>
        </w:rPr>
        <w:t xml:space="preserve">Zitiervorschlag: Art 1 BayWoBindG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https://recht.nulegal.eu/gesetze/BayWoBindG/1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