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BayWiVG (Bayern) — Haushalt der Regulierungskammer und der Geschäftsstelle</w:t>
      </w:r>
    </w:p>
    <w:p>
      <w:r>
        <w:rPr>
          <w:color w:val="555555"/>
          <w:sz w:val="18"/>
        </w:rPr>
        <w:t xml:space="preserve">Bayerisches Gesetz über wirtschafts-, energiewirtschafts- und vergaberechtliche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Personal- und Sachmittel der Regulierungskammer und ihrer Geschäftsstelle sind im Einzelplan des Staatsministeriums gesondert auszuweisen.</w:t>
      </w:r>
    </w:p>
    <w:p>
      <w:r>
        <w:t xml:space="preserve">(2) Es ist sicherzustellen, dass die Regulierungskammer und ihre Geschäftsstelle sowie die die Regulierungskammer unterstützenden Behörden im Sinn des Art. 10 Abs. 2 Satz 1 Nr. 2 über eine angemessene personelle und finanzielle Ausstattung verfügen. Der Vorsitzende der Regulierungskammer entscheidet eigenverantwortlich über die Verwendung der nach Abs. 1 ausgewiesenen Haushaltsmittel.</w:t>
      </w:r>
    </w:p>
    <w:p>
      <w:r>
        <w:rPr>
          <w:color w:val="555555"/>
          <w:sz w:val="17"/>
        </w:rPr>
        <w:t xml:space="preserve">Zitiervorschlag: Art 9 BayWiVG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https://recht.nulegal.eu/gesetze/BayWiVG/9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