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BayWiVG (Bayern) — Dienstaufsicht über die Mitglieder der Regulierungskammer</w:t>
      </w:r>
    </w:p>
    <w:p>
      <w:r>
        <w:rPr>
          <w:color w:val="555555"/>
          <w:sz w:val="18"/>
        </w:rPr>
        <w:t xml:space="preserve">Bayerisches Gesetz über wirtschafts-, energiewirtschafts- und vergaberechtliche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Staatsminister übt die Dienstaufsicht über die Mitglieder der Regulierungskammer aus; Art. 2 bleibt unberührt.</w:t>
      </w:r>
    </w:p>
    <w:p>
      <w:r>
        <w:rPr>
          <w:color w:val="555555"/>
          <w:sz w:val="17"/>
        </w:rPr>
        <w:t xml:space="preserve">Zitiervorschlag: Art 7 BayWiVG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https://recht.nulegal.eu/gesetze/BayWiVG/7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