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BayWiVG (Bayern) — Ernennung der Mitglieder der Regulierungskammer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Staatsminister für Wirtschaft, Landesentwicklung und Energie (Staatsminister) ernennt den Vorsitzenden und vier Beisitzer der Regulierungskammer (Mitglieder der Regulierungskammer); Art. 2 bleibt unberührt.</w:t>
      </w:r>
    </w:p>
    <w:p>
      <w:r>
        <w:t xml:space="preserve">(2) Bei der Ernennung der Mitglieder der Regulierungskammer ist durch eine gestaffelte Bemessung der Amtszeiten dafür Sorge zu tragen, dass die Amtszeiten der Mitglieder der Regulierungskammer nicht zum selben Zeitpunkt enden.</w:t>
      </w:r>
    </w:p>
    <w:p>
      <w:r>
        <w:t xml:space="preserve">(3) Die Ernennung des Vorsitzenden der Regulierungskammer erfolgt für eine Amtszeit von sieben Jahren. Eine einmalige Verlängerung der Amtszeit um sieben Jahre ist zulässig.</w:t>
      </w:r>
    </w:p>
    <w:p>
      <w:r>
        <w:t xml:space="preserve">(4) Die Ernennung der Beisitzer der Regulierungskammer erfolgt für eine Amtszeit von fünf bis sieben Jahren. Eine Verlängerung der Amtszeit um fünf bis sieben Jahre ist zulässig.</w:t>
      </w:r>
    </w:p>
    <w:p>
      <w:r>
        <w:rPr>
          <w:color w:val="555555"/>
          <w:sz w:val="17"/>
        </w:rPr>
        <w:t xml:space="preserve">Zitiervorschlag: Art 4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