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BayWiVG (Bayern) — Bürgerbeteiligung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Vorhabenträger soll auch den Einwohnerinnen und Einwohnern der beteiligungsberechtigten Gemeinden ein Angebot zur Beteiligung an dem Vorhaben unterbreiten.</w:t>
      </w:r>
    </w:p>
    <w:p>
      <w:r>
        <w:t xml:space="preserve">(2) Hierfür können insbesondere folgende Möglichkeiten der Beteiligung vorgesehen werden:</w:t>
      </w:r>
    </w:p>
    <w:p>
      <w:r>
        <w:t xml:space="preserve">1. eine Beteiligung an der Projektgesellschaft des Vorhabens,</w:t>
      </w:r>
    </w:p>
    <w:p>
      <w:r>
        <w:t xml:space="preserve">2. die finanzielle, gesellschaftsrechtliche oder anderweitige Beteiligung von Bürgerenergiegesellschaften beziehungsweise Genossenschaften,</w:t>
      </w:r>
    </w:p>
    <w:p>
      <w:r>
        <w:t xml:space="preserve">3. das Angebot über den Kauf einer oder mehrerer Anlagen oder Anlagenteile,</w:t>
      </w:r>
    </w:p>
    <w:p>
      <w:r>
        <w:t xml:space="preserve">4. die finanzielle Beteiligung über Anlageprodukte,</w:t>
      </w:r>
    </w:p>
    <w:p>
      <w:r>
        <w:t xml:space="preserve">5. vergünstigte lokale Stromtarife oder Sparprodukte,</w:t>
      </w:r>
    </w:p>
    <w:p>
      <w:r>
        <w:t xml:space="preserve">6. die Finanzierung gemeinnütziger Stiftungen oder Vereine oder</w:t>
      </w:r>
    </w:p>
    <w:p>
      <w:r>
        <w:t xml:space="preserve">7. die Bereitstellung einer Ladeinfrastruktur für Elektromobilität.</w:t>
      </w:r>
    </w:p>
    <w:p>
      <w:r>
        <w:rPr>
          <w:color w:val="555555"/>
          <w:sz w:val="17"/>
        </w:rPr>
        <w:t xml:space="preserve">Zitiervorschlag: Art 25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