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BayWiVG (Bayern) — Beteiligungsberechtigte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Beteiligungsberechtigt sind alle Gemeinden in Bayern im Sinne des § 6 Abs. 2 Satz 2 und Abs. 3 Satz 2 EEG 2023 (beteiligungsberechtigte Gemeinde).</w:t>
      </w:r>
    </w:p>
    <w:p>
      <w:r>
        <w:t xml:space="preserve">(2) Befinden sich die Anlagen auf einem gemeindefreien Gebiet, gilt für die Anwendung der Art. 22, 24 und 26 auch der Landkreis, dem das gemeindefreie Gebiet nach Art. 7 der Landkreisordnung (LKrO) zugeteilt ist, als beteiligungsberechtigt. Art. 27 gilt entsprechend.</w:t>
      </w:r>
    </w:p>
    <w:p>
      <w:r>
        <w:rPr>
          <w:color w:val="555555"/>
          <w:sz w:val="17"/>
        </w:rPr>
        <w:t xml:space="preserve">Zitiervorschlag: Art 23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