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22 BayWiVG (Bayern) — Pflicht zur Beteiligung</w:t>
      </w:r>
    </w:p>
    <w:p>
      <w:r>
        <w:rPr>
          <w:color w:val="555555"/>
          <w:sz w:val="18"/>
        </w:rPr>
        <w:t xml:space="preserve">Bayerisches Gesetz über wirtschafts-, energiewirtschafts- und vergaberechtliche Vorschriften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Vorhabenträger von</w:t>
      </w:r>
    </w:p>
    <w:p>
      <w:r>
        <w:t xml:space="preserve">1. genehmigungsbedürftigen Windenergieanlagen mit einer Gesamthöhe von mehr als 50 m und</w:t>
      </w:r>
    </w:p>
    <w:p>
      <w:r>
        <w:t xml:space="preserve">2. Photovoltaik-Freiflächenanlagen mit einer installierten Leistung von mehr als 5 000 Kilowatt</w:t>
      </w:r>
    </w:p>
    <w:p>
      <w:r>
        <w:t xml:space="preserve">sind zur Beteiligung nach Art. 24 verpflichtet. Vorhabenträger ist, wer beabsichtigt, Windenergie- oder Photovoltaik-Freiflächenanlagen zu errichten und, soweit erforderlich, die Genehmigung beantragt, sowie dessen Rechtsnachfolger; nach Inbetriebnahme der Anlagen ist Vorhabenträger der Betreiber der Anlagen sowie dessen Rechtsnachfolger.</w:t>
      </w:r>
    </w:p>
    <w:p>
      <w:r>
        <w:t xml:space="preserve">(2) Die Pflicht zur Beteiligung gilt nicht für</w:t>
      </w:r>
    </w:p>
    <w:p>
      <w:r>
        <w:t xml:space="preserve">1. Anlagen, die nach § 35 Abs. 1 des Baugesetzbuches (BauGB) als unselbstständiger Teil eines im bauplanungsrechtlichen Außenbereich privilegierten Betriebes genehmigungsfähig sind,</w:t>
      </w:r>
    </w:p>
    <w:p>
      <w:r>
        <w:t xml:space="preserve">2. Anlagen, die in einem Abstand von höchstens 2 000 m zu einem Gewerbe- oder Industriegebiet errichtet werden und bei denen der erzeugte Strom überwiegend zur Versorgung der in dem Gewerbe- oder Industriegebiet liegenden Gewerbe- und Industriebetriebe bestimmt ist,</w:t>
      </w:r>
    </w:p>
    <w:p>
      <w:r>
        <w:t xml:space="preserve">3. Windenergieanlagen, die weit überwiegend der Entwicklung oder Erprobung wesentlicher technischer Neuerungen dienen,</w:t>
      </w:r>
    </w:p>
    <w:p>
      <w:r>
        <w:t xml:space="preserve">4. Anlagen, für die kein Gebot in einem Ausschreibungsverfahren der Bundesnetzagentur abgegeben oder kein Zuschlag erteilt wurde,</w:t>
      </w:r>
    </w:p>
    <w:p>
      <w:r>
        <w:t xml:space="preserve">5. besondere Solaranlagen nach § 37 Abs. 1 Nr. 3 des Erneuerbare-Energien-Gesetzes (EEG 2023),</w:t>
      </w:r>
    </w:p>
    <w:p>
      <w:r>
        <w:t xml:space="preserve">6. Anlagen von Bürgerenergiegesellschaften im Sinne des § 3 Nr. 15 EEG 2023, wobei es auf die Einhaltung der Voraussetzungen nach § 3 Nr. 15 Buchst. c EEG 2023 nicht ankommt,</w:t>
      </w:r>
    </w:p>
    <w:p>
      <w:r>
        <w:t xml:space="preserve">7. Anlagen, die am 31. Dezember 2025 bereits genehmigt, rechtmäßig in Betrieb genommen wurden oder deren Errichtung unter Beifügung der vollständigen Antragsunterlagen bereits beantragt wurde,</w:t>
      </w:r>
    </w:p>
    <w:p>
      <w:r>
        <w:t xml:space="preserve">8. Anlagen, deren Zulässigkeit durch vorhabenbezogenen Bebauungsplan im Sinne von § 12 BauGB bestimmt wird, wenn bis zum Ablauf des 31. Dezember 2025 der vorhabenbezogene Bebauungsplan in Kraft getreten ist, oder</w:t>
      </w:r>
    </w:p>
    <w:p>
      <w:r>
        <w:t xml:space="preserve">9. den Fall eines vollständigen Austauschs von Windenergieanlagen bei einem Repowering im Sinne von § 16b Abs. 2 Satz 2 des Bundes-Immissionsschutzgesetzes, wenn bis zum Ablauf des 31. Dezember 2025 die Genehmigung zum vollständigen Austausch erteilt wurde oder der Austausch unter Beifügung der vollständigen Unterlagen beantragt wurde.</w:t>
      </w:r>
    </w:p>
    <w:p>
      <w:r>
        <w:rPr>
          <w:color w:val="555555"/>
          <w:sz w:val="17"/>
        </w:rPr>
        <w:t xml:space="preserve">Zitiervorschlag: Art 22 BayWiVG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https://recht.nulegal.eu/gesetze/BayWiVG/22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