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BayWiVG (Bayern) — Unabhängigkeit der Regulierungskammer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Regulierungskammer und deren Mitglieder üben ihre Tätigkeit im Rahmen der Gesetze unabhängig und in eigener Verantwortung aus.</w:t>
      </w:r>
    </w:p>
    <w:p>
      <w:r>
        <w:t xml:space="preserve">(2) Die Regulierungskammer und deren Mitglieder üben ihre Tätigkeit unparteiisch und unabhängig von Marktinteressen aus. Der Regulierungskammer und deren Mitgliedern ist es untersagt,</w:t>
      </w:r>
    </w:p>
    <w:p>
      <w:r>
        <w:t xml:space="preserve">1. bei der Wahrnehmung ihrer Regulierungsaufgaben Weisungen von Regierungsstellen und anderen öffentlichen oder privaten Einrichtungen einzuholen oder entgegenzunehmen und</w:t>
      </w:r>
    </w:p>
    <w:p>
      <w:r>
        <w:t xml:space="preserve">2. als Organmitglied, Arbeitnehmer oder freiberuflicher Mitarbeiter eines Energieversorgungsunternehmens im Sinn des § 3 Nr. 18 EnWG oder eines Verbands der Energiewirtschaft tätig zu werden.</w:t>
      </w:r>
    </w:p>
    <w:p>
      <w:r>
        <w:t xml:space="preserve">§ 33 Abs. 1 des Beamtenstatusgesetzes sowie Art. 20 und 21 des Bayerischen Verwaltungsverfahrensgesetzes bleiben unberührt.</w:t>
      </w:r>
    </w:p>
    <w:p>
      <w:r>
        <w:rPr>
          <w:color w:val="555555"/>
          <w:sz w:val="17"/>
        </w:rPr>
        <w:t xml:space="preserve">Zitiervorschlag: Art 2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