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BayWiVG (Bayern) — Versicherungsaufsicht, Verordnungsermächtigung</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führt die Versicherungsaufsicht über die nach § 1 des Versicherungsaufsichtsgesetzes aufsichtspflichtigen Versicherungsunternehmen, soweit nicht die Bundesanstalt für Finanzdienstleistungsaufsicht oder das Staatsministerium des Innern, für Sport und Integration zuständig ist. Das Staatsministerium wird ermächtigt, die Aufsicht über Versicherungsunternehmen durch Rechtsverordnung ganz oder teilweise auf die Regierungen oder für mehrere Regierungsbezirke auf eine Regierung zu übertragen.</w:t>
      </w:r>
    </w:p>
    <w:p>
      <w:r>
        <w:t xml:space="preserve">(2) Dem Staatsministerium des Innern, für Sport und Integration obliegt die Rechts- und Versicherungsaufsicht über die in den Art. 1 Satz 1 und Art. 54 des Gesetzes über das öffentliche Versorgungswesen genannten Versorgungseinrichtungen, soweit diese dem Freistaat Bayern zukommt.</w:t>
      </w:r>
    </w:p>
    <w:p>
      <w:r>
        <w:rPr>
          <w:color w:val="555555"/>
          <w:sz w:val="17"/>
        </w:rPr>
        <w:t xml:space="preserve">Zitiervorschlag: Art 15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