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BayWiVG (Bayern) — Bank- und Börsenwesen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Bestätigung der Umstellungsrechnungen der Kreditinstitute im Sinn von § 62 Abs. 3 des Kreditwesengesetzes und alle hiermit zusammenhängenden Entscheidungen ist das Staatsministerium der Finanzen und für Heimat zuständig.</w:t>
      </w:r>
    </w:p>
    <w:p>
      <w:r>
        <w:t xml:space="preserve">(2) Das Staatsministerium ist Börsenaufsichtsbehörde im Sinn des § 3 Abs. 1 Satz 3 des Börsengesetzes.</w:t>
      </w:r>
    </w:p>
    <w:p>
      <w:r>
        <w:rPr>
          <w:color w:val="555555"/>
          <w:sz w:val="17"/>
        </w:rPr>
        <w:t xml:space="preserve">Zitiervorschlag: Art 14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