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BayWiVG (Bayern) — Lastverteilung Strom und Gas</w:t>
      </w:r>
    </w:p>
    <w:p>
      <w:r>
        <w:rPr>
          <w:color w:val="555555"/>
          <w:sz w:val="18"/>
        </w:rPr>
        <w:t xml:space="preserve">Bayerisches Gesetz über wirtschafts-, energiewirtschafts- und vergaberechtliche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Staatsregierung wird ermächtigt, durch Rechtsverordnung Aufgaben und Befugnisse der Lastverteilung nach der Elektrizitätslastverteilungs-Verordnung und der Gaslastverteilungs-Verordnung auf die Regierungen, die Kreisverwaltungsbehörden und die Gemeinden als Gruppen-, Bezirks- und Bereichslastverteiler zu übertragen und die Grenzen der Gruppen-, Bezirks- und Bereichslastverteilung zu bestimmen.</w:t>
      </w:r>
    </w:p>
    <w:p>
      <w:r>
        <w:t xml:space="preserve">(2) Die Staatsregierung wird ermächtigt, durch Rechtsverordnung Aufgaben und Befugnisse der Lastverteilung nach der Elektrizitätssicherungsverordnung und der Gassicherungsverordnung auf die Regierungen, die Kreisverwaltungsbehörden und die Gemeinden als Gruppen-, Bezirks- und Bereichslastverteiler zu übertragen und die Grenzen der Gruppen-, Bezirks- und Bereichslastverteilung zu bestimmen.</w:t>
      </w:r>
    </w:p>
    <w:p>
      <w:r>
        <w:rPr>
          <w:color w:val="555555"/>
          <w:sz w:val="17"/>
        </w:rPr>
        <w:t xml:space="preserve">Zitiervorschlag: Art 12 BayWiVG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https://recht.nulegal.eu/gesetze/BayWiVG/12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