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BayWiVG (Bayern) — Zuständigkeit der Regulierungskammer</w:t>
      </w:r>
    </w:p>
    <w:p>
      <w:r>
        <w:rPr>
          <w:color w:val="555555"/>
          <w:sz w:val="18"/>
        </w:rPr>
        <w:t xml:space="preserve">Bayerisches Gesetz über wirtschafts-, energiewirtschafts- und vergaberechtliche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den Vollzug der Aufgaben der Landesregulierungsbehörde im Sinn des § 54 Abs. 2 des Energiewirtschaftsgesetzes (EnWG) ist die Regulierungskammer des Freistaates Bayern zuständig. Die Regulierungskammer gibt sich eine Geschäftsordnung, die auf der Internetseite der Regulierungskammer veröffentlicht wird.</w:t>
      </w:r>
    </w:p>
    <w:p>
      <w:r>
        <w:t xml:space="preserve">(2) Die Regulierungskammer wird gerichtlich und außergerichtlich durch ihren Vorsitzenden vertreten.</w:t>
      </w:r>
    </w:p>
    <w:p>
      <w:r>
        <w:t xml:space="preserve">(3) Die Regulierungskammer ist oberste Dienstbehörde im Sinn von § 96 Satz 1 der Strafprozeßordnung sowie Art. 6 Abs. 3 Satz 3 des Bayerischen Beamtengesetzes.</w:t>
      </w:r>
    </w:p>
    <w:p>
      <w:r>
        <w:rPr>
          <w:color w:val="555555"/>
          <w:sz w:val="17"/>
        </w:rPr>
        <w:t xml:space="preserve">Zitiervorschlag: Art 1 BayWiVG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https://recht.nulegal.eu/gesetze/BayWiVG/1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