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BayWeltEngNatMon (Bayern)</w:t>
      </w:r>
    </w:p>
    <w:p>
      <w:r>
        <w:rPr>
          <w:color w:val="555555"/>
          <w:sz w:val="18"/>
        </w:rPr>
        <w:t xml:space="preserve">Verordnung über das Nationale Naturmonument Weltenburger Enge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12 Abs. 1 Satz 1 und des Art. 51 Abs. 1 Nr. 1 des Bayerischen Naturschutzgesetzes (BayNatSchG) vom 23. Februar 2011 (GVBl. S. 82, BayRS 791-1-U), das zuletzt durch Art. 11a Abs. 4 des Gesetzes vom 10. Dezember 2019 (GVBl. S. 686) geändert worden ist, in Verbindung mit § 22 Abs. 5 des Bundesnaturschutzgesetzes (BNatSchG) vom 29. Juli 2009 (BGBl. I S. 2542), das zuletzt durch Art. 8 des Gesetzes vom 13. Mai 2019 (BGBl. I S. 706) geändert worden ist, verordnet die Bayerische Staatsregierung, bezüglich der §§ 1 bis 5 und 7 bis 9 im Benehmen mit dem Bundesministerium für Umwelt, Naturschutz und nukleare Sicherheit und dem Bundesministerium für Verkehr und digitale Infrastruktur:</w:t>
      </w:r>
    </w:p>
    <w:p>
      <w:r>
        <w:rPr>
          <w:color w:val="555555"/>
          <w:sz w:val="17"/>
        </w:rPr>
        <w:t xml:space="preserve">Zitiervorschlag: Eingangsformel BayWeltEngNatMon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https://recht.nulegal.eu/gesetze/BayWeltEngNatMon/eingangsformel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