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BayWeltEngNatMon (Bayern) — Verhältnis zu anderen Vorschriften</w:t>
      </w:r>
    </w:p>
    <w:p>
      <w:r>
        <w:rPr>
          <w:color w:val="555555"/>
          <w:sz w:val="18"/>
        </w:rPr>
        <w:t xml:space="preserve">Verordnung über das Nationale Naturmonument Weltenburger Enge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Soweit das Nationale Naturmonument gleichzeitig Bestandteil eines Naturschutzgebiets ist, bleiben die Festlegungen der für das Naturschutzgebiet maßgeblichen Verordnung mit folgenden Maßgaben unberührt:</w:t>
      </w:r>
    </w:p>
    <w:p>
      <w:r>
        <w:t xml:space="preserve">1. Im räumlichen Umgriff des Nationalen Naturmonuments werden alle Zuständigkeiten zum Vollzug der für das Naturschutzgebiet maßgeblichen Verordnung von der für das Nationale Naturmonument zuständigen Verwaltung gemäß § 6 wahrgenommen.</w:t>
      </w:r>
    </w:p>
    <w:p>
      <w:r>
        <w:t xml:space="preserve">2. Weitergehende Regelungen nach der Verordnung über das Naturschutzgebiet bleiben unberührt.</w:t>
      </w:r>
    </w:p>
    <w:p>
      <w:r>
        <w:t xml:space="preserve">3. Befreiungen bestimmen sich ausschließlich nach dieser Verordnung über das Nationale Naturmonument.</w:t>
      </w:r>
    </w:p>
    <w:p>
      <w:r>
        <w:rPr>
          <w:color w:val="555555"/>
          <w:sz w:val="17"/>
        </w:rPr>
        <w:t xml:space="preserve">Zitiervorschlag: § 8 BayWeltEngNatMon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https://recht.nulegal.eu/gesetze/BayWeltEngNatMon/8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