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BayWeltEngNatMon (Bayern) — Ordnungswidrigkeiten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im Sinne des Art. 57 Abs. 1 Nr. 2 BayNatSchG handelt, wer vorsätzlich oder fahrlässig einem Verbot nach § 3 Satz 2 zuwiderhandelt, sofern die Handlung nicht nach § 4 zulässig oder für sie nach § 5 eine vorherige Befreiung erteilt worden ist.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7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