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BayWeltEngNatMon (Bayern) — Ausnahmen</w:t>
      </w:r>
    </w:p>
    <w:p>
      <w:r>
        <w:rPr>
          <w:color w:val="555555"/>
          <w:sz w:val="18"/>
        </w:rPr>
        <w:t xml:space="preserve">Verordnung über das Nationale Naturmonument Weltenburger Enge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Unberührt bleiben:</w:t>
      </w:r>
    </w:p>
    <w:p>
      <w:r>
        <w:t xml:space="preserve">1. Maßnahmen oder Tätigkeiten, die</w:t>
      </w:r>
    </w:p>
    <w:p>
      <w:r>
        <w:t xml:space="preserve">a) dem Erreichen des Schutzzwecks im Sinne des § 2 dienen,</w:t>
      </w:r>
    </w:p>
    <w:p>
      <w:r>
        <w:t xml:space="preserve">b) der Verwirklichung der Erhaltungsziele gemäß § 3 der Bayerischen Natura 2000-Verordnung oder im Rahmen der Umsetzung der Richtlinie 2000/60/EG dem Erreichen und der Sicherung des guten ökologischen Zustands dienen,</w:t>
      </w:r>
    </w:p>
    <w:p>
      <w:r>
        <w:t xml:space="preserve">c) der Gewässerunterhaltung im Sinne des § 39 Wasserhaushaltsgesetz dienen oder zur Ausübung der technischen Gewässeraufsicht gemäß Art. 58 des Bayerischen Wassergesetzes erforderlich sind,</w:t>
      </w:r>
    </w:p>
    <w:p>
      <w:r>
        <w:t xml:space="preserve">d) zum Hochwasserschutz, zum Hochwasserrisikomanagement und zum Erhalt der für den Hochwasserabfluss notwendigen Leistungsfähigkeit der Donau erforderlich sind,</w:t>
      </w:r>
    </w:p>
    <w:p>
      <w:r>
        <w:t xml:space="preserve">e) zum Zweck der Verkehrssicherung, insbesondere zur Felsberäumung oder Felssicherung erforderlich sind,</w:t>
      </w:r>
    </w:p>
    <w:p>
      <w:r>
        <w:t xml:space="preserve">2. unaufschiebbare Maßnahmen zur Abwehr oder Beseitigung einer unmittelbar bevorstehenden erheblichen Gefahr, insbesondere für Leib und Leben, die der zuständigen Verwaltung gemäß § 6 nach ihrer Durchführung unverzüglich anzuzeigen sind,</w:t>
      </w:r>
    </w:p>
    <w:p>
      <w:r>
        <w:t xml:space="preserve">3. die erforderliche Entwicklung und Pflege</w:t>
      </w:r>
    </w:p>
    <w:p>
      <w:r>
        <w:t xml:space="preserve">a) der Magerrasen, Pionierstandorte und offenen Felsen,</w:t>
      </w:r>
    </w:p>
    <w:p>
      <w:r>
        <w:t xml:space="preserve">b) der in der Karte M 1:5 000 (Anlage 2) abgegrenzten Wiese sowie deren Nutzung als Saatgutplantage,</w:t>
      </w:r>
    </w:p>
    <w:p>
      <w:r>
        <w:t xml:space="preserve">4. die rechtmäßige Ausübung der Jagd und Fischerei,</w:t>
      </w:r>
    </w:p>
    <w:p>
      <w:r>
        <w:t xml:space="preserve">5. die ordnungsgemäße landwirtschaftliche Bodennutzung in Form der extensiven Grünlandnutzung und die ordnungsgemäße forstwirtschaftliche Bodennutzung auf den in der Karte M 1:5 000 (Anlage 2) abgegrenzten Flächen sowie die Nutzungen auf den Flurstücken 372/2, 397/3 und 397/0 der Gemarkung Stausacker, Stadt Kelheim,</w:t>
      </w:r>
    </w:p>
    <w:p>
      <w:r>
        <w:t xml:space="preserve">6. wissenschaftliche Beobachtungen, Untersuchungen und Forschungsaktivitäten, wenn und soweit sie nicht mit erheblichen Beeinträchtigungen von Natur und Landschaft verbunden sind.</w:t>
      </w:r>
    </w:p>
    <w:p>
      <w:r>
        <w:t xml:space="preserve">In Zweifelsfällen entscheidet die zuständige Verwaltung gemäß § 6.</w:t>
      </w:r>
    </w:p>
    <w:p>
      <w:r>
        <w:rPr>
          <w:color w:val="555555"/>
          <w:sz w:val="17"/>
        </w:rPr>
        <w:t xml:space="preserve">Zitiervorschlag: § 4 BayWeltEngNatMon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https://recht.nulegal.eu/gesetze/BayWeltEngNatMon/4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