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BayWeltEngNatMon (Bayern) — Schutzgegenstand, Größe und Schutzgebietsgrenzen</w:t>
      </w:r>
    </w:p>
    <w:p>
      <w:r>
        <w:rPr>
          <w:color w:val="555555"/>
          <w:sz w:val="18"/>
        </w:rPr>
        <w:t xml:space="preserve">Verordnung über das Nationale Naturmonument Weltenburger Enge</w:t>
      </w:r>
    </w:p>
    <w:p>
      <w:r>
        <w:rPr>
          <w:color w:val="555555"/>
          <w:sz w:val="18"/>
        </w:rPr>
        <w:t xml:space="preserve">Landesrecht Bayern</w:t>
      </w:r>
    </w:p>
    <w:p>
      <w:r>
        <w:rPr>
          <w:color w:val="555555"/>
          <w:sz w:val="18"/>
        </w:rPr>
        <w:t xml:space="preserve">Stand: 25.08.2026 (konsolidierte Textfassung, kein amtliches Inkrafttretensdatum)</w:t>
      </w:r>
    </w:p>
    <w:p>
      <w:r>
        <w:t xml:space="preserve">Das südwestlich der Stadt Kelheim im Landkreis Kelheim gelegene Durchbruchstal mit Donau mit seinen prägenden Naturelementen Fluss, Fels und Wald ist zwischen Weltenburg und Kelheim mit einer Fläche von insgesamt rund 197 ha als „Nationales Naturmonument Weltenburger Enge“ unter Schutz gestellt. Die Grenzen des Nationalen Naturmonuments ergeben sich aus den Schutzgebietskarten im Maßstab (M) 1:25 000 (Anlage 1) sowie M 1:5 000 (Anlage 2), die Bestandteil dieser Verordnung sind. Es gilt die Innenkante der Abgrenzungslinie. Maßgebend für den Grenzverlauf ist die Karte M 1:5 000.</w:t>
      </w:r>
    </w:p>
    <w:p>
      <w:r>
        <w:rPr>
          <w:color w:val="555555"/>
          <w:sz w:val="17"/>
        </w:rPr>
        <w:t xml:space="preserve">Zitiervorschlag: § 1 BayWeltEngNatMon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https://recht.nulegal.eu/gesetze/BayWeltEngNatMon/1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